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EB" w:rsidRPr="00A056EB" w:rsidRDefault="00115F8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ГООРЕЦКИЙ РАЙОННЫЙ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115F8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1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ИНФОРМАЦИОННАЯ ГИГИЕНА </w:t>
      </w:r>
    </w:p>
    <w:p w:rsidR="00A056EB" w:rsidRPr="00A056EB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42"/>
          <w:szCs w:val="42"/>
        </w:rPr>
        <w:t>ИЛИ КАК НЕ СТАТЬ ЖЕРТВОЙ ДЕЗИНФОРМАЦИИ</w:t>
      </w:r>
    </w:p>
    <w:bookmarkEnd w:id="1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115F8B">
        <w:rPr>
          <w:rFonts w:ascii="Times New Roman" w:eastAsia="Calibri" w:hAnsi="Times New Roman" w:cs="Times New Roman"/>
          <w:b/>
          <w:sz w:val="28"/>
          <w:szCs w:val="28"/>
        </w:rPr>
        <w:t>Горки</w:t>
      </w:r>
    </w:p>
    <w:p w:rsidR="00A056EB" w:rsidRPr="00A056EB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709"/>
      </w:tblGrid>
      <w:tr w:rsidR="00834503" w:rsidRPr="00F03EE1" w:rsidTr="00BB1FD2">
        <w:tc>
          <w:tcPr>
            <w:tcW w:w="9072" w:type="dxa"/>
          </w:tcPr>
          <w:p w:rsid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50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ГИГИЕНА ИЛИ КАК НЕ СТАТЬ ЖЕРТВОЙ ДЕЗИНФОРМАЦИИ</w:t>
            </w:r>
          </w:p>
        </w:tc>
        <w:tc>
          <w:tcPr>
            <w:tcW w:w="709" w:type="dxa"/>
          </w:tcPr>
          <w:p w:rsidR="00834503" w:rsidRPr="00F03EE1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34503" w:rsidRPr="00F03EE1" w:rsidTr="00BB1FD2">
        <w:tc>
          <w:tcPr>
            <w:tcW w:w="9072" w:type="dxa"/>
          </w:tcPr>
          <w:p w:rsid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503">
              <w:rPr>
                <w:rFonts w:ascii="Times New Roman" w:hAnsi="Times New Roman"/>
                <w:b/>
                <w:bCs/>
                <w:sz w:val="24"/>
                <w:szCs w:val="24"/>
              </w:rPr>
              <w:t>ЕДИНЫЙ ПОРТАЛ ЭЛЕКТРОННЫХ УСЛУГ, МОБИЛЬНОЕ ПРИЛОЖЕНИЕ «Е-ПАСЛУГА»</w:t>
            </w:r>
          </w:p>
        </w:tc>
        <w:tc>
          <w:tcPr>
            <w:tcW w:w="709" w:type="dxa"/>
          </w:tcPr>
          <w:p w:rsidR="00834503" w:rsidRPr="00F03EE1" w:rsidRDefault="00BB1FD2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34503" w:rsidRPr="00023954" w:rsidTr="00BB1FD2">
        <w:tc>
          <w:tcPr>
            <w:tcW w:w="9072" w:type="dxa"/>
          </w:tcPr>
          <w:p w:rsidR="00834503" w:rsidRP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345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ПРИНИМАЕМЫХ МЕРАХ ПО БОРЬБЕ С КОРРУПЦИЕЙ</w:t>
            </w:r>
          </w:p>
        </w:tc>
        <w:tc>
          <w:tcPr>
            <w:tcW w:w="709" w:type="dxa"/>
          </w:tcPr>
          <w:p w:rsidR="00834503" w:rsidRPr="00023954" w:rsidRDefault="00BB1FD2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34503" w:rsidRPr="00023954" w:rsidTr="00BB1FD2">
        <w:tc>
          <w:tcPr>
            <w:tcW w:w="9072" w:type="dxa"/>
          </w:tcPr>
          <w:p w:rsidR="00834503" w:rsidRP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73941375"/>
            <w:r w:rsidRPr="008345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КЛЮЧЕВЫЕ ИЗМЕНЕНИЯ И ДОПОЛНЕНИЯ В ТРУДОВОМ КОДЕКСЕ РЕСПУБЛИКИ БЕЛАРУСЬ</w:t>
            </w:r>
            <w:bookmarkEnd w:id="2"/>
          </w:p>
        </w:tc>
        <w:tc>
          <w:tcPr>
            <w:tcW w:w="709" w:type="dxa"/>
          </w:tcPr>
          <w:p w:rsidR="00834503" w:rsidRPr="00023954" w:rsidRDefault="00834503" w:rsidP="00BB1FD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9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B1FD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34503" w:rsidRPr="00023954" w:rsidTr="00BB1FD2">
        <w:tc>
          <w:tcPr>
            <w:tcW w:w="9072" w:type="dxa"/>
          </w:tcPr>
          <w:p w:rsidR="00834503" w:rsidRP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</w:p>
        </w:tc>
        <w:tc>
          <w:tcPr>
            <w:tcW w:w="709" w:type="dxa"/>
          </w:tcPr>
          <w:p w:rsidR="00834503" w:rsidRPr="00023954" w:rsidRDefault="00BB1FD2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DF726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>информационная гигиена или как не стать жертвой дезинформации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Она, злободневна, волнует и касается фактически каждого. 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F7264" w:rsidRPr="00812B0D" w:rsidRDefault="00DF7264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12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</w:t>
      </w:r>
      <w:proofErr w:type="spellEnd"/>
      <w:r w:rsidRPr="00812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F0773"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="004F0773"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Apple</w:t>
      </w:r>
      <w:proofErr w:type="spellEnd"/>
      <w:r w:rsidR="004F0773"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весит 170 гр. </w:t>
      </w:r>
    </w:p>
    <w:p w:rsidR="00DF7264" w:rsidRPr="00812B0D" w:rsidRDefault="004F0773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DF7264" w:rsidRPr="00812B0D" w:rsidRDefault="004F0773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</w:t>
      </w:r>
      <w:proofErr w:type="spellStart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We</w:t>
      </w:r>
      <w:proofErr w:type="spellEnd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are</w:t>
      </w:r>
      <w:proofErr w:type="spellEnd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Social</w:t>
      </w:r>
      <w:proofErr w:type="spellEnd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DF7264" w:rsidRPr="00812B0D" w:rsidRDefault="004F0773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812B0D" w:rsidRDefault="004F0773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812B0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это со второй половины XX века после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DF7264" w:rsidRDefault="004F0773" w:rsidP="00DF726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812B0D" w:rsidRDefault="00DF7264" w:rsidP="00812B0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</w:t>
      </w:r>
      <w:proofErr w:type="spellEnd"/>
      <w:r w:rsidRPr="00812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4F0773" w:rsidRPr="00812B0D">
        <w:rPr>
          <w:rFonts w:ascii="Times New Roman" w:eastAsia="Calibri" w:hAnsi="Times New Roman" w:cs="Times New Roman"/>
          <w:i/>
          <w:sz w:val="24"/>
          <w:szCs w:val="24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DF7264" w:rsidRDefault="004F0773" w:rsidP="00DF726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>формируют личную новостную ленту, опираясь на предпочтения конкретного пользователя. 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медийного сообщества в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г.Могилеве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</w:t>
      </w:r>
      <w:r w:rsidR="00DF726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>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Англосаксы – владельцы Гугл, Фейсбук, Твиттер,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Вотсап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DF7264">
      <w:pPr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Цитата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Ж</w:t>
      </w:r>
      <w:r w:rsidR="00DF7264">
        <w:rPr>
          <w:rFonts w:ascii="Times New Roman" w:eastAsia="Calibri" w:hAnsi="Times New Roman" w:cs="Times New Roman"/>
          <w:sz w:val="30"/>
          <w:szCs w:val="30"/>
          <w:u w:val="single"/>
        </w:rPr>
        <w:t>озепа</w:t>
      </w:r>
      <w:proofErr w:type="spellEnd"/>
      <w:r w:rsidR="00DF7264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proofErr w:type="spellStart"/>
      <w:r w:rsidR="00DF7264">
        <w:rPr>
          <w:rFonts w:ascii="Times New Roman" w:eastAsia="Calibri" w:hAnsi="Times New Roman" w:cs="Times New Roman"/>
          <w:sz w:val="30"/>
          <w:szCs w:val="30"/>
          <w:u w:val="single"/>
        </w:rPr>
        <w:t>Б</w:t>
      </w: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орреля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«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 xml:space="preserve">Европа – это </w:t>
      </w:r>
      <w:r w:rsidR="00DF7264">
        <w:rPr>
          <w:rFonts w:ascii="Times New Roman" w:eastAsia="Calibri" w:hAnsi="Times New Roman" w:cs="Times New Roman"/>
          <w:sz w:val="30"/>
          <w:szCs w:val="30"/>
        </w:rPr>
        <w:t>«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>сад</w:t>
      </w:r>
      <w:r w:rsidR="00DF7264">
        <w:rPr>
          <w:rFonts w:ascii="Times New Roman" w:eastAsia="Calibri" w:hAnsi="Times New Roman" w:cs="Times New Roman"/>
          <w:sz w:val="30"/>
          <w:szCs w:val="30"/>
        </w:rPr>
        <w:t>»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 xml:space="preserve">, а окружающий её мир – </w:t>
      </w:r>
      <w:r w:rsidR="00DF7264">
        <w:rPr>
          <w:rFonts w:ascii="Times New Roman" w:eastAsia="Calibri" w:hAnsi="Times New Roman" w:cs="Times New Roman"/>
          <w:sz w:val="30"/>
          <w:szCs w:val="30"/>
        </w:rPr>
        <w:t>«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>джунгли</w:t>
      </w:r>
      <w:r w:rsidR="00DF7264">
        <w:rPr>
          <w:rFonts w:ascii="Times New Roman" w:eastAsia="Calibri" w:hAnsi="Times New Roman" w:cs="Times New Roman"/>
          <w:sz w:val="30"/>
          <w:szCs w:val="30"/>
        </w:rPr>
        <w:t>»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>, способные вторгнуться в хорошо отлаженный европейский механизм…</w:t>
      </w:r>
      <w:r w:rsidR="00DF7264">
        <w:rPr>
          <w:rFonts w:ascii="Times New Roman" w:eastAsia="Calibri" w:hAnsi="Times New Roman" w:cs="Times New Roman"/>
          <w:sz w:val="30"/>
          <w:szCs w:val="30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713D2D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</w:t>
      </w:r>
      <w:r w:rsidR="004F0773"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Фейки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Главная задача создателей фейка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="00713D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="00713D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искусственно вызванное ожидание имеет своей целью разделение людей на «друзей» и «врагов».</w:t>
      </w:r>
    </w:p>
    <w:p w:rsidR="004F0773" w:rsidRPr="004F0773" w:rsidRDefault="00713D2D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территории 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>Беларусь с завидным упорством действуют иностранные «</w:t>
      </w:r>
      <w:proofErr w:type="spellStart"/>
      <w:r w:rsidR="004F0773" w:rsidRPr="004F0773">
        <w:rPr>
          <w:rFonts w:ascii="Times New Roman" w:eastAsia="Calibri" w:hAnsi="Times New Roman" w:cs="Times New Roman"/>
          <w:sz w:val="30"/>
          <w:szCs w:val="30"/>
        </w:rPr>
        <w:t>фейкоделы</w:t>
      </w:r>
      <w:proofErr w:type="spellEnd"/>
      <w:r w:rsidR="004F0773" w:rsidRPr="004F0773">
        <w:rPr>
          <w:rFonts w:ascii="Times New Roman" w:eastAsia="Calibri" w:hAnsi="Times New Roman" w:cs="Times New Roman"/>
          <w:sz w:val="30"/>
          <w:szCs w:val="30"/>
        </w:rPr>
        <w:t>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соцсетях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F0773" w:rsidRPr="00C3363F" w:rsidRDefault="004F0773" w:rsidP="00713D2D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4F0773" w:rsidRDefault="004F0773" w:rsidP="00713D2D">
      <w:pPr>
        <w:shd w:val="clear" w:color="auto" w:fill="FFFFFF"/>
        <w:spacing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713D2D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F0773" w:rsidRPr="00812B0D" w:rsidRDefault="00713D2D" w:rsidP="00713D2D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8"/>
        </w:rPr>
      </w:pPr>
      <w:proofErr w:type="spellStart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Справочно</w:t>
      </w:r>
      <w:proofErr w:type="spellEnd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:</w:t>
      </w:r>
      <w:r w:rsidRPr="00812B0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</w:t>
      </w:r>
      <w:r w:rsidR="004F0773" w:rsidRPr="00812B0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="004F0773"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54,3%</w:t>
      </w:r>
      <w:r w:rsidR="004F0773" w:rsidRPr="00812B0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812B0D" w:rsidRDefault="00713D2D" w:rsidP="00713D2D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8"/>
        </w:rPr>
      </w:pPr>
      <w:proofErr w:type="spellStart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Справочно</w:t>
      </w:r>
      <w:proofErr w:type="spellEnd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 xml:space="preserve">: </w:t>
      </w:r>
      <w:r w:rsidR="004F0773" w:rsidRPr="00812B0D">
        <w:rPr>
          <w:rFonts w:ascii="Times New Roman" w:eastAsia="Calibri" w:hAnsi="Times New Roman" w:cs="Times New Roman"/>
          <w:i/>
          <w:iCs/>
          <w:sz w:val="24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713D2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812B0D" w:rsidRDefault="00E97C27" w:rsidP="00E97C27">
      <w:pPr>
        <w:spacing w:after="0" w:line="300" w:lineRule="exact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spellStart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Справочно</w:t>
      </w:r>
      <w:proofErr w:type="spellEnd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 xml:space="preserve">: </w:t>
      </w:r>
      <w:r w:rsidR="004F0773"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С октября 2023 г. в Уголовный кодекс </w:t>
      </w:r>
      <w:r w:rsidR="004F0773" w:rsidRPr="00812B0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Республики</w:t>
      </w:r>
      <w:r w:rsidR="004F0773"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4F0773" w:rsidRPr="00812B0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Польша</w:t>
      </w:r>
      <w:r w:rsidR="004F0773"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="004F0773" w:rsidRPr="00812B0D">
        <w:rPr>
          <w:rFonts w:ascii="Times New Roman" w:eastAsia="Times New Roman" w:hAnsi="Times New Roman" w:cs="Times New Roman"/>
          <w:i/>
          <w:spacing w:val="-6"/>
          <w:sz w:val="24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812B0D" w:rsidRDefault="004F0773" w:rsidP="00E97C27">
      <w:pPr>
        <w:spacing w:after="0" w:line="300" w:lineRule="exact"/>
        <w:ind w:right="-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 </w:t>
      </w:r>
      <w:r w:rsidRPr="00812B0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ОАЭ</w:t>
      </w:r>
      <w:r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27,4 тыс. долларов США и заключение под стражу на срок от 1 года. </w:t>
      </w:r>
    </w:p>
    <w:p w:rsidR="004F0773" w:rsidRPr="00812B0D" w:rsidRDefault="004F0773" w:rsidP="00E97C27">
      <w:pPr>
        <w:spacing w:after="0" w:line="300" w:lineRule="exact"/>
        <w:ind w:right="-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 </w:t>
      </w:r>
      <w:r w:rsidRPr="00812B0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Республике Корея</w:t>
      </w:r>
      <w:r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E97C27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</w:t>
      </w:r>
      <w:r w:rsidR="004F0773"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</w:t>
      </w:r>
      <w:r w:rsidR="004F0773"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="004F0773"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="004F0773"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источники используются для ее передачи</w:t>
      </w:r>
      <w:r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используются разные виды ответственности</w:t>
      </w:r>
      <w:r w:rsidR="004F0773"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F0773" w:rsidRPr="004F0773" w:rsidRDefault="004F0773" w:rsidP="00E97C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E97C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и многозадачными могут быть эти самые фейки, о которых мы говорим.</w:t>
      </w:r>
    </w:p>
    <w:p w:rsidR="004F0773" w:rsidRPr="004F0773" w:rsidRDefault="004F0773" w:rsidP="00E97C27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F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115F8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</w:t>
      </w:r>
      <w:r w:rsidR="00115F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</w:t>
      </w:r>
      <w:r w:rsidR="00115F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очевидцем события,</w:t>
      </w:r>
      <w:r w:rsidR="00115F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115F8B" w:rsidRPr="00812B0D" w:rsidRDefault="00115F8B" w:rsidP="00115F8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</w:pPr>
      <w:proofErr w:type="spellStart"/>
      <w:r w:rsidRPr="00812B0D">
        <w:rPr>
          <w:rFonts w:ascii="Times New Roman" w:eastAsia="Times New Roman" w:hAnsi="Times New Roman" w:cs="Times New Roman"/>
          <w:b/>
          <w:i/>
          <w:sz w:val="28"/>
          <w:szCs w:val="30"/>
        </w:rPr>
        <w:t>Справочно</w:t>
      </w:r>
      <w:proofErr w:type="spellEnd"/>
      <w:r w:rsidRPr="00812B0D">
        <w:rPr>
          <w:rFonts w:ascii="Times New Roman" w:eastAsia="Times New Roman" w:hAnsi="Times New Roman" w:cs="Times New Roman"/>
          <w:b/>
          <w:i/>
          <w:sz w:val="28"/>
          <w:szCs w:val="30"/>
        </w:rPr>
        <w:t>:</w:t>
      </w:r>
      <w:r w:rsidRPr="00812B0D">
        <w:rPr>
          <w:rFonts w:ascii="Times New Roman" w:eastAsia="Times New Roman" w:hAnsi="Times New Roman" w:cs="Times New Roman"/>
          <w:sz w:val="28"/>
          <w:szCs w:val="30"/>
          <w:u w:val="single"/>
        </w:rPr>
        <w:t xml:space="preserve"> </w:t>
      </w:r>
      <w:r w:rsidR="004F0773"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В 2023 году ограничен доступ к </w:t>
      </w:r>
      <w:r w:rsidR="004F0773" w:rsidRPr="00812B0D">
        <w:rPr>
          <w:rFonts w:ascii="Times New Roman" w:eastAsia="Calibri" w:hAnsi="Times New Roman" w:cs="Times New Roman"/>
          <w:b/>
          <w:i/>
          <w:position w:val="2"/>
          <w:sz w:val="24"/>
          <w:szCs w:val="28"/>
          <w14:ligatures w14:val="all"/>
        </w:rPr>
        <w:t>3 388</w:t>
      </w:r>
      <w:r w:rsidR="004F0773"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 интернет-ресурсам, в первом полугодии 2024 г. – к </w:t>
      </w:r>
      <w:r w:rsidR="004F0773" w:rsidRPr="00812B0D">
        <w:rPr>
          <w:rFonts w:ascii="Times New Roman" w:eastAsia="Calibri" w:hAnsi="Times New Roman" w:cs="Times New Roman"/>
          <w:b/>
          <w:i/>
          <w:position w:val="2"/>
          <w:sz w:val="24"/>
          <w:szCs w:val="28"/>
          <w14:ligatures w14:val="all"/>
        </w:rPr>
        <w:t>1 495</w:t>
      </w:r>
      <w:r w:rsidR="004F0773"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. Из них за распространение экстремистских материалов в 2023 году ограничен доступ к 1 565 интернет-ресурсам, за 6 месяцев 2024 </w:t>
      </w:r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>г. – к 1 004 интернет-ресурсам.</w:t>
      </w:r>
    </w:p>
    <w:p w:rsidR="004F0773" w:rsidRPr="00812B0D" w:rsidRDefault="004F0773" w:rsidP="00115F8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</w:pPr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>Мининформом</w:t>
      </w:r>
      <w:proofErr w:type="spellEnd"/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 внесено </w:t>
      </w:r>
      <w:r w:rsidRPr="00812B0D">
        <w:rPr>
          <w:rFonts w:ascii="Times New Roman" w:eastAsia="Calibri" w:hAnsi="Times New Roman" w:cs="Times New Roman"/>
          <w:b/>
          <w:i/>
          <w:position w:val="2"/>
          <w:sz w:val="24"/>
          <w:szCs w:val="28"/>
          <w14:ligatures w14:val="all"/>
        </w:rPr>
        <w:t>1 237</w:t>
      </w:r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 материалов (в 2023 году – 1 735; в 2022 году – 1 381).</w:t>
      </w:r>
    </w:p>
    <w:p w:rsidR="004F0773" w:rsidRPr="004F0773" w:rsidRDefault="00115F8B" w:rsidP="00115F8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Министерство информации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 xml:space="preserve"> принимает решения об ограничении доступа к отдельным интернет-ресурсам и публикует их на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официальном сайте, а также 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>размещ</w:t>
      </w:r>
      <w:r>
        <w:rPr>
          <w:rFonts w:ascii="Times New Roman" w:eastAsia="Calibri" w:hAnsi="Times New Roman" w:cs="Times New Roman"/>
          <w:sz w:val="30"/>
          <w:szCs w:val="30"/>
        </w:rPr>
        <w:t>ает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 xml:space="preserve">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115F8B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5F8B">
        <w:rPr>
          <w:rFonts w:ascii="Times New Roman" w:eastAsia="Calibri" w:hAnsi="Times New Roman" w:cs="Times New Roman"/>
          <w:b/>
          <w:sz w:val="30"/>
          <w:szCs w:val="30"/>
        </w:rPr>
        <w:t>И</w:t>
      </w:r>
      <w:r w:rsidR="004F0773"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="004F0773"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115F8B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5F8B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>сть ли способы распознать, с кем вы общаетесь в Интернете –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="004F0773"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2022 г. на встрече с Государственным секретарем Совета Безопасности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А.Г.Вольфовичем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F96532" w:rsidRDefault="00127522" w:rsidP="00F96532">
      <w:pPr>
        <w:widowControl w:val="0"/>
        <w:spacing w:before="120" w:after="0" w:line="240" w:lineRule="auto"/>
        <w:ind w:right="-284"/>
        <w:jc w:val="right"/>
        <w:rPr>
          <w:rFonts w:ascii="Times New Roman" w:eastAsia="Calibri" w:hAnsi="Times New Roman" w:cs="Times New Roman"/>
          <w:i/>
          <w:sz w:val="20"/>
          <w:szCs w:val="30"/>
        </w:rPr>
      </w:pPr>
      <w:r w:rsidRPr="00F96532">
        <w:rPr>
          <w:rFonts w:ascii="Times New Roman" w:eastAsia="Calibri" w:hAnsi="Times New Roman" w:cs="Times New Roman"/>
          <w:i/>
          <w:sz w:val="20"/>
          <w:szCs w:val="30"/>
        </w:rPr>
        <w:t xml:space="preserve">на основе информации Министерства связи и информатизации Республики Беларусь, </w:t>
      </w:r>
      <w:r w:rsidRPr="00F96532">
        <w:rPr>
          <w:rFonts w:ascii="Times New Roman" w:eastAsia="Calibri" w:hAnsi="Times New Roman" w:cs="Times New Roman"/>
          <w:i/>
          <w:sz w:val="20"/>
          <w:szCs w:val="30"/>
        </w:rPr>
        <w:br/>
        <w:t>РУП «Национальный центр электронных услуг», 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Согласно результатам обзора ООН «Электронное правительство 2022», 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 индексу человеческого капитала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 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Беларусь входит в топ-30 стран 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(26-е место)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из 193 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представленных в рейтинге,</w:t>
      </w:r>
      <w:r w:rsidR="00F965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Беларусь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заняла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22-е место среди 132 государств по показателю «Доступ к ИКТ» и 28-е место по показателю «Использование ИКТ»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Единый портал электронных услуг получил имя «Е-</w:t>
      </w: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Паслуга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», такое же название и у мобильного приложение ЕПЭУ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– для легкости и простоты восприятия пользователями. Доменное имя портала в сети Интернет: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https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://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pasluga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by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F96532" w:rsidRDefault="00127522" w:rsidP="00F96532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Если за 2022 год на белорусском едином портале электронных услуг появилось более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40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новых услуг, то в 2023 году –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277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новых сервисов (услуг и административных процедур). С января 2024 г. на портале уже размещено более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60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Если в 2022 году через портал было оказано чуть больше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76 млн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услуг, то за 2023 год оказано порядка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128 млн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услуг. </w:t>
      </w:r>
    </w:p>
    <w:p w:rsidR="00127522" w:rsidRPr="00F96532" w:rsidRDefault="00127522" w:rsidP="00F96532">
      <w:pPr>
        <w:spacing w:after="12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В 2024 году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ежемесячное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количество оказываемых услуг –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11,5 млн.</w:t>
      </w: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За 2023 год пройдено порядка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4 млн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Например, выдача справки: 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состоянии на учете нуждающихся в улучшении жилищных условий;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размере пенсии;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регистрации гражданина в качестве безработного;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127522" w:rsidRPr="00621B58" w:rsidRDefault="00127522" w:rsidP="00621B58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21B58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621B58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621B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21B58">
        <w:rPr>
          <w:rFonts w:ascii="Times New Roman" w:eastAsia="Calibri" w:hAnsi="Times New Roman" w:cs="Times New Roman"/>
          <w:i/>
          <w:sz w:val="24"/>
          <w:szCs w:val="24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№ 119р, в котором определены конкретные АП для их цифровизации,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и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21B58" w:rsidRDefault="00621B58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21B58" w:rsidRPr="00127522" w:rsidRDefault="00621B58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621B58">
      <w:pPr>
        <w:pStyle w:val="a8"/>
        <w:spacing w:after="0"/>
        <w:ind w:left="0" w:right="-284"/>
        <w:jc w:val="right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3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3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что в нашей стране борьба с коррупцией носит системный 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Вместе с тем о ликвидации негативных явлений говорить еще не приходится. Взяточничество, «откаты», хищения, неэффективное расходование бюджетных средств и другие подобные нарушения закона 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с экономическими преступлениями Могилевской области выявлено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 г. Чаусы, РПУП «Завод газетной бумаги», 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«Бобруйский государственный механико-технологический колледж»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Анализируя причины и условия совершения коррупционных преступлений, следует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621B58">
      <w:pPr>
        <w:pStyle w:val="a8"/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621B58">
      <w:pPr>
        <w:pStyle w:val="a8"/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Правоохранительными и иными государственными органами, участвующими в борьбе с коррупцией, проделана существенная работа 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большинстве случаев берущие взятки убеждены в том, 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исключения коррупционных преступлений 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Например, заведующий сектором одного из учреждений культуры г.</w:t>
      </w:r>
      <w:r w:rsidR="00621B58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Pr="00621B58" w:rsidRDefault="008A2602" w:rsidP="00621B5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</w:t>
      </w:r>
      <w:proofErr w:type="spellEnd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21B58"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</w:t>
      </w:r>
      <w:proofErr w:type="gramStart"/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ответственности </w:t>
      </w:r>
      <w:r w:rsidR="00621B58"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proofErr w:type="gramEnd"/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Pr="00621B58" w:rsidRDefault="008A2602" w:rsidP="00621B5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</w:t>
      </w:r>
      <w:proofErr w:type="spellEnd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21B58"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требованию прокуратуры </w:t>
      </w:r>
      <w:proofErr w:type="spellStart"/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>Дрибинского</w:t>
      </w:r>
      <w:proofErr w:type="spellEnd"/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района данное должностное лицо привлечено к дисциплинарной ответственности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>по обеспечению деятельности бюджетных организаций главный бухгалтер нарушил запрет 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Pr="00621B58" w:rsidRDefault="00FB2998" w:rsidP="00621B5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</w:t>
      </w:r>
      <w:proofErr w:type="spellEnd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21B58"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>Приведенные нарушения законодательства свидетельствуют 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Нередко совершению данных нарушений способствовал формализм в работе конкурсных комиссий, безразличное отношение их членов 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Имели место факты взыскания по требованию органов прокуратуры 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а также имели место факты причинения вреда данному учреждению 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Pr="00621B58" w:rsidRDefault="00E90ED7" w:rsidP="00621B5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</w:t>
      </w:r>
      <w:proofErr w:type="spellEnd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21B58"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>По требованию прокуратуры</w:t>
      </w:r>
      <w:r w:rsidR="00550AFD"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1 362,21 руб., 10 лиц привлечены к дисциплинарной ответственности.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>для коррупции, поэтому работа прокуроров по надзору 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7534C3" w:rsidRDefault="00D23576" w:rsidP="00621B5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Также очевидно, что борьба с коррупцией невозможна без антикоррупционного просвещения и воспитания, полного неприятия коррупционного поведения.</w:t>
      </w:r>
    </w:p>
    <w:p w:rsidR="00621B58" w:rsidRPr="00962A9B" w:rsidRDefault="00621B58" w:rsidP="00621B5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1B58" w:rsidRDefault="00621B58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621B58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621B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8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</w:t>
      </w:r>
      <w:r w:rsidR="00621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621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</w:t>
      </w:r>
      <w:r w:rsidR="00621B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или 2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1"/>
        <w:gridCol w:w="4677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 общеустановленного пенсионного 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диспансеризации медработник выдает выписку 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совмещения работы и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родительства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Предоставляется альтернатива заменить 1 дополнительный свободный от работы день в неделю сокращением рабочих дней на 1 ч. с сохранением зарплаты (статья 265 ТК), при условии, что это не будет препятствовать нормальной работе организации.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9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10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</w:t>
      </w:r>
      <w:r w:rsidR="00F44B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1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2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3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01.01.2024 наниматели могут осуществлять правовые действия в отношении работников (ознакомление с документами, направление уведомлений, получение согласия от работника и иное) не только 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и подписывать на бумажном носителе (статья 29-1 ТК).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Нормы для работающих на условиях неполного рабочего времени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4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5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для таких работников продолжительность работы 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Перерыв для отдыха и питания по желанию работника может не предоставляться при установлении ему продолжительности ежедневной работы (смены), не превышающей 4 ч.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7"/>
      <w:bookmarkEnd w:id="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работе в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государственные праздники и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6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8"/>
      <w:bookmarkEnd w:id="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зарплаты на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7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9"/>
      <w:bookmarkEnd w:id="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связи с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в </w:t>
      </w:r>
      <w:hyperlink r:id="rId18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ТК обусловлены изменениями Кодекса Республики Беларусь об образовании</w:t>
      </w:r>
      <w:hyperlink r:id="rId19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по предоставлению отпусков в связи с получением образования, 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отсутствии направления нанимателя на обучение предоставление гарантий работнику в связи с обучением осуществляется на основании 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Введена обязанность нанимателя предоставлять работнику отпуск без сохранения заработной платы на время поступления его в аспирантуру (адъюнктуру) (</w:t>
      </w:r>
      <w:hyperlink r:id="rId22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</w:t>
      </w:r>
      <w:r w:rsidR="00F44B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F44B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календарных дней.</w:t>
      </w: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10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8" w:name="a15"/>
      <w:bookmarkEnd w:id="8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AF1206">
      <w:pPr>
        <w:pStyle w:val="a8"/>
        <w:spacing w:after="0" w:line="240" w:lineRule="auto"/>
        <w:ind w:left="0" w:right="-284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</w:t>
      </w:r>
      <w:r w:rsidR="00F44B7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завершения работы над</w:t>
      </w:r>
      <w:r w:rsidR="00F44B7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диссертацией</w:t>
      </w:r>
    </w:p>
    <w:p w:rsidR="00F44B79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3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9" w:name="a16"/>
      <w:bookmarkEnd w:id="9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67E0" w:rsidRPr="009B67E0" w:rsidRDefault="009B67E0" w:rsidP="00AF120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его изменении в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4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0" w:name="a17"/>
      <w:bookmarkEnd w:id="10"/>
    </w:p>
    <w:p w:rsidR="009B67E0" w:rsidRPr="004352BC" w:rsidRDefault="009B67E0" w:rsidP="00AF12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</w:t>
      </w:r>
      <w:r w:rsidR="00F44B7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6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8"/>
      <w:bookmarkEnd w:id="11"/>
    </w:p>
    <w:p w:rsidR="009B67E0" w:rsidRPr="009B67E0" w:rsidRDefault="009B67E0" w:rsidP="00AF120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</w:t>
      </w:r>
      <w:r w:rsidR="00AF1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7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9"/>
      <w:bookmarkEnd w:id="12"/>
    </w:p>
    <w:p w:rsidR="009B67E0" w:rsidRPr="00AF1206" w:rsidRDefault="009B67E0" w:rsidP="00AF120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Изменены подходы к</w:t>
      </w:r>
      <w:r w:rsidR="00AF1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предоставлению отпусков по</w:t>
      </w:r>
      <w:r w:rsidR="00AF1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8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3" w:name="a20"/>
      <w:bookmarkEnd w:id="13"/>
    </w:p>
    <w:p w:rsidR="009B67E0" w:rsidRPr="009B67E0" w:rsidRDefault="009B67E0" w:rsidP="00AF12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Обязанность нанимателя обеспечивать 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9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1"/>
      <w:bookmarkEnd w:id="1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30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2"/>
      <w:bookmarkEnd w:id="1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</w:t>
      </w:r>
      <w:r w:rsidR="00AF120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1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3"/>
      <w:bookmarkEnd w:id="1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2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7" w:name="a14"/>
      <w:bookmarkEnd w:id="1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3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D641E7" w:rsidRPr="009B67E0" w:rsidRDefault="00D641E7" w:rsidP="00AF1206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Материал подготовлен Центром безопасности жизнедеятельности и взаимодействия 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F1206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Пример: 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22 июля в 03:50 поступило сообщение о пожаре частного жилого дома в агрогородке </w:t>
      </w:r>
      <w:proofErr w:type="spellStart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Барколабово</w:t>
      </w:r>
      <w:proofErr w:type="spellEnd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F1206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Пример: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Пример: </w:t>
      </w: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Вечером 30 июля в деревне Липовка </w:t>
      </w:r>
      <w:proofErr w:type="spellStart"/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Костюковичского</w:t>
      </w:r>
      <w:proofErr w:type="spellEnd"/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Пример: </w:t>
      </w: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Сообщение о пожаре в Бобруйске спасатели получили 28 апреля в 16-50. Очевидец сообщил, что горит мусорный контейнер на площадке для сбора отходов по улице Советской.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BB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F1206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Пример: 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</w:t>
      </w:r>
      <w:r w:rsidRPr="00AF120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спецтранпорте</w:t>
      </w:r>
      <w:proofErr w:type="spellEnd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F1206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Пример: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F1206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Пример: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proofErr w:type="spellStart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Толочинском</w:t>
      </w:r>
      <w:proofErr w:type="spellEnd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Толочинском</w:t>
      </w:r>
      <w:proofErr w:type="spellEnd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F1206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AD0C20" w:rsidRDefault="00D641E7" w:rsidP="0083450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A964B0" w:rsidSect="007534C3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7ED" w:rsidRDefault="008977ED" w:rsidP="007534C3">
      <w:pPr>
        <w:spacing w:after="0" w:line="240" w:lineRule="auto"/>
      </w:pPr>
      <w:r>
        <w:separator/>
      </w:r>
    </w:p>
  </w:endnote>
  <w:endnote w:type="continuationSeparator" w:id="0">
    <w:p w:rsidR="008977ED" w:rsidRDefault="008977ED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7ED" w:rsidRDefault="008977ED" w:rsidP="007534C3">
      <w:pPr>
        <w:spacing w:after="0" w:line="240" w:lineRule="auto"/>
      </w:pPr>
      <w:r>
        <w:separator/>
      </w:r>
    </w:p>
  </w:footnote>
  <w:footnote w:type="continuationSeparator" w:id="0">
    <w:p w:rsidR="008977ED" w:rsidRDefault="008977ED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6532" w:rsidRPr="00621B58" w:rsidRDefault="00F96532" w:rsidP="00621B5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BB1FD2">
          <w:rPr>
            <w:rFonts w:ascii="Times New Roman" w:hAnsi="Times New Roman" w:cs="Times New Roman"/>
            <w:noProof/>
          </w:rPr>
          <w:t>3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EB"/>
    <w:rsid w:val="00074096"/>
    <w:rsid w:val="000A4293"/>
    <w:rsid w:val="000D0D2D"/>
    <w:rsid w:val="000F7B9F"/>
    <w:rsid w:val="00115F8B"/>
    <w:rsid w:val="00125B78"/>
    <w:rsid w:val="00127522"/>
    <w:rsid w:val="002A00E8"/>
    <w:rsid w:val="002A0C68"/>
    <w:rsid w:val="002C0574"/>
    <w:rsid w:val="002F3AD8"/>
    <w:rsid w:val="00301D2C"/>
    <w:rsid w:val="003F2A15"/>
    <w:rsid w:val="004352BC"/>
    <w:rsid w:val="004B00DB"/>
    <w:rsid w:val="004E37D9"/>
    <w:rsid w:val="004E5313"/>
    <w:rsid w:val="004F0773"/>
    <w:rsid w:val="00534B74"/>
    <w:rsid w:val="00550AFD"/>
    <w:rsid w:val="00573974"/>
    <w:rsid w:val="005A14A8"/>
    <w:rsid w:val="005C3E00"/>
    <w:rsid w:val="00621B58"/>
    <w:rsid w:val="00681618"/>
    <w:rsid w:val="00713D2D"/>
    <w:rsid w:val="007534C3"/>
    <w:rsid w:val="00812B0D"/>
    <w:rsid w:val="00834503"/>
    <w:rsid w:val="008977ED"/>
    <w:rsid w:val="008A2602"/>
    <w:rsid w:val="00917903"/>
    <w:rsid w:val="00957282"/>
    <w:rsid w:val="009573EA"/>
    <w:rsid w:val="00962A9B"/>
    <w:rsid w:val="009B67E0"/>
    <w:rsid w:val="009C51CE"/>
    <w:rsid w:val="009D2E88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AF1206"/>
    <w:rsid w:val="00B65E6C"/>
    <w:rsid w:val="00B73ABB"/>
    <w:rsid w:val="00BB1FD2"/>
    <w:rsid w:val="00BB5956"/>
    <w:rsid w:val="00C07AF7"/>
    <w:rsid w:val="00C3363F"/>
    <w:rsid w:val="00D17B40"/>
    <w:rsid w:val="00D23576"/>
    <w:rsid w:val="00D34F83"/>
    <w:rsid w:val="00D641E7"/>
    <w:rsid w:val="00DD6D12"/>
    <w:rsid w:val="00DF7264"/>
    <w:rsid w:val="00E26C4A"/>
    <w:rsid w:val="00E72374"/>
    <w:rsid w:val="00E90ED7"/>
    <w:rsid w:val="00E97C27"/>
    <w:rsid w:val="00F44B79"/>
    <w:rsid w:val="00F529F0"/>
    <w:rsid w:val="00F96532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A552B-D4D6-4F96-8B37-278E84F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F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cuments\tx.dll%3fd=33380&amp;a=9921" TargetMode="External"/><Relationship Id="rId18" Type="http://schemas.openxmlformats.org/officeDocument/2006/relationships/hyperlink" Target="file:///C:\Users\User\Documents\tx.dll%3fd=33380&amp;a=8412" TargetMode="External"/><Relationship Id="rId26" Type="http://schemas.openxmlformats.org/officeDocument/2006/relationships/hyperlink" Target="file:///C:\Users\User\Documents\tx.dll%3fd=33380&amp;a=9926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cuments\tx.dll%3fd=33380&amp;a=992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tx.dll%3fd=33380&amp;a=9920" TargetMode="External"/><Relationship Id="rId17" Type="http://schemas.openxmlformats.org/officeDocument/2006/relationships/hyperlink" Target="file:///C:\Users\User\Documents\tx.dll%3fd=33380&amp;a=3808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yperlink" Target="file:///C:\Users\User\Documents\tx.dll%3fd=33380&amp;a=8107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cuments\tx.dll%3fd=33380&amp;a=6869" TargetMode="External"/><Relationship Id="rId20" Type="http://schemas.openxmlformats.org/officeDocument/2006/relationships/hyperlink" Target="file:///C:\Users\User\Documents\tx.dll%3fd=33380&amp;a=8413" TargetMode="External"/><Relationship Id="rId29" Type="http://schemas.openxmlformats.org/officeDocument/2006/relationships/hyperlink" Target="file:///C:\Users\User\Documents\tx.dll%3fd=33380&amp;a=95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tx.dll%3fd=33380&amp;a=9919" TargetMode="External"/><Relationship Id="rId24" Type="http://schemas.openxmlformats.org/officeDocument/2006/relationships/hyperlink" Target="file:///C:\Users\User\Documents\tx.dll%3fd=33380&amp;a=2601" TargetMode="External"/><Relationship Id="rId32" Type="http://schemas.openxmlformats.org/officeDocument/2006/relationships/hyperlink" Target="file:///C:\Users\User\Documents\tx.dll%3fd=33380&amp;a=9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tx.dll%3fd=33380&amp;a=6993" TargetMode="External"/><Relationship Id="rId23" Type="http://schemas.openxmlformats.org/officeDocument/2006/relationships/hyperlink" Target="file:///C:\Users\User\Documents\tx.dll%3fd=33380&amp;a=9925" TargetMode="External"/><Relationship Id="rId28" Type="http://schemas.openxmlformats.org/officeDocument/2006/relationships/hyperlink" Target="file:///C:\Users\User\Documents\tx.dll%3fd=33380&amp;a=9927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Documents\tx.dll%3fd=385418&amp;a=2" TargetMode="External"/><Relationship Id="rId19" Type="http://schemas.openxmlformats.org/officeDocument/2006/relationships/hyperlink" Target="file:///C:\Users\User\Documents\tx.dll%3fd=204095&amp;a=1" TargetMode="External"/><Relationship Id="rId31" Type="http://schemas.openxmlformats.org/officeDocument/2006/relationships/hyperlink" Target="file:///C:\Users\User\Documents\tx.dll%3fd=33380&amp;a=992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tx.dll%3fd=385418&amp;a=1" TargetMode="External"/><Relationship Id="rId14" Type="http://schemas.openxmlformats.org/officeDocument/2006/relationships/hyperlink" Target="file:///C:\Users\User\Documents\tx.dll%3fd=33380&amp;a=9729" TargetMode="External"/><Relationship Id="rId22" Type="http://schemas.openxmlformats.org/officeDocument/2006/relationships/hyperlink" Target="file:///C:\Users\User\Documents\tx.dll%3fd=33380&amp;a=9924" TargetMode="External"/><Relationship Id="rId27" Type="http://schemas.openxmlformats.org/officeDocument/2006/relationships/hyperlink" Target="file:///C:\Users\User\Documents\tx.dll%3fd=33380&amp;a=1361" TargetMode="External"/><Relationship Id="rId30" Type="http://schemas.openxmlformats.org/officeDocument/2006/relationships/hyperlink" Target="file:///C:\Users\User\Documents\tx.dll%3fd=33380&amp;a=8517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C:\Users\User\Documents\tx.dll%3fd=33380&amp;a=6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422F-B3DA-4D19-ACF5-4E7655B2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11254</Words>
  <Characters>64154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ЗОЖ</cp:lastModifiedBy>
  <cp:revision>2</cp:revision>
  <dcterms:created xsi:type="dcterms:W3CDTF">2024-08-21T07:41:00Z</dcterms:created>
  <dcterms:modified xsi:type="dcterms:W3CDTF">2024-08-21T07:41:00Z</dcterms:modified>
</cp:coreProperties>
</file>