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7"/>
        <w:gridCol w:w="6402"/>
      </w:tblGrid>
      <w:tr w:rsidR="009A6AFE" w:rsidRPr="002213F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9A6AFE" w:rsidRDefault="002213F6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9A6AFE" w:rsidRPr="002213F6" w:rsidRDefault="002213F6">
            <w:pPr>
              <w:spacing w:after="0" w:line="288" w:lineRule="auto"/>
              <w:rPr>
                <w:lang w:val="ru-RU"/>
              </w:rPr>
            </w:pPr>
            <w:r w:rsidRPr="002213F6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9A6AFE" w:rsidRPr="002213F6" w:rsidRDefault="002213F6">
            <w:pPr>
              <w:rPr>
                <w:lang w:val="ru-RU"/>
              </w:rPr>
            </w:pPr>
            <w:r w:rsidRPr="002213F6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2213F6">
              <w:rPr>
                <w:sz w:val="20"/>
                <w:szCs w:val="20"/>
                <w:lang w:val="ru-RU"/>
              </w:rPr>
              <w:t>“, 14.08.2025  Национальный центр законодательства и правовой информации Республики Беларусь</w:t>
            </w:r>
          </w:p>
        </w:tc>
      </w:tr>
    </w:tbl>
    <w:p w:rsidR="009A6AFE" w:rsidRPr="002213F6" w:rsidRDefault="009A6AFE">
      <w:pPr>
        <w:rPr>
          <w:lang w:val="ru-RU"/>
        </w:rPr>
      </w:pPr>
    </w:p>
    <w:p w:rsidR="009A6AFE" w:rsidRPr="002213F6" w:rsidRDefault="002213F6">
      <w:pPr>
        <w:spacing w:after="60"/>
        <w:jc w:val="center"/>
        <w:rPr>
          <w:lang w:val="ru-RU"/>
        </w:rPr>
      </w:pPr>
      <w:r w:rsidRPr="002213F6">
        <w:rPr>
          <w:caps/>
          <w:lang w:val="ru-RU"/>
        </w:rPr>
        <w:t>УКАЗ</w:t>
      </w:r>
      <w:r>
        <w:rPr>
          <w:caps/>
        </w:rPr>
        <w:t> </w:t>
      </w:r>
      <w:r w:rsidRPr="002213F6">
        <w:rPr>
          <w:caps/>
          <w:lang w:val="ru-RU"/>
        </w:rPr>
        <w:t>ПРЕЗИДЕНТА РЕСПУБЛИКИ БЕЛАРУСЬ</w:t>
      </w:r>
    </w:p>
    <w:p w:rsidR="009A6AFE" w:rsidRPr="002213F6" w:rsidRDefault="002213F6">
      <w:pPr>
        <w:spacing w:after="60"/>
        <w:jc w:val="center"/>
        <w:rPr>
          <w:lang w:val="ru-RU"/>
        </w:rPr>
      </w:pPr>
      <w:r w:rsidRPr="002213F6">
        <w:rPr>
          <w:lang w:val="ru-RU"/>
        </w:rPr>
        <w:t>25 мая 2017 г. № 181</w:t>
      </w:r>
    </w:p>
    <w:p w:rsidR="009A6AFE" w:rsidRDefault="002213F6">
      <w:pPr>
        <w:spacing w:before="240" w:after="240"/>
      </w:pPr>
      <w:r>
        <w:rPr>
          <w:b/>
          <w:bCs/>
          <w:sz w:val="28"/>
          <w:szCs w:val="28"/>
        </w:rPr>
        <w:t>О Национальном координаторе по достижению Целей устойчивого развития</w:t>
      </w:r>
    </w:p>
    <w:p w:rsidR="009A6AFE" w:rsidRPr="002213F6" w:rsidRDefault="002213F6">
      <w:pPr>
        <w:spacing w:after="60"/>
        <w:ind w:left="1021"/>
        <w:rPr>
          <w:lang w:val="ru-RU"/>
        </w:rPr>
      </w:pPr>
      <w:r w:rsidRPr="002213F6">
        <w:rPr>
          <w:lang w:val="ru-RU"/>
        </w:rPr>
        <w:t>Изменения и дополнения:</w:t>
      </w:r>
    </w:p>
    <w:p w:rsidR="009A6AFE" w:rsidRPr="002213F6" w:rsidRDefault="002213F6">
      <w:pPr>
        <w:spacing w:after="60"/>
        <w:ind w:left="1133" w:firstLine="566"/>
        <w:jc w:val="both"/>
        <w:rPr>
          <w:lang w:val="ru-RU"/>
        </w:rPr>
      </w:pPr>
      <w:r w:rsidRPr="002213F6">
        <w:rPr>
          <w:lang w:val="ru-RU"/>
        </w:rPr>
        <w:t>Указ Президента Республики Беларусь от 13 февраля 2020</w:t>
      </w:r>
      <w:r>
        <w:t> </w:t>
      </w:r>
      <w:r w:rsidRPr="002213F6">
        <w:rPr>
          <w:lang w:val="ru-RU"/>
        </w:rPr>
        <w:t>г. №</w:t>
      </w:r>
      <w:r>
        <w:t> </w:t>
      </w:r>
      <w:r w:rsidRPr="002213F6">
        <w:rPr>
          <w:lang w:val="ru-RU"/>
        </w:rPr>
        <w:t>52 (Национальный правовой Интернет-портал Республики Беларусь, 15.02.2020, 1/18850)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>
        <w:t> </w:t>
      </w:r>
    </w:p>
    <w:p w:rsidR="009A6AFE" w:rsidRDefault="002213F6">
      <w:pPr>
        <w:spacing w:after="60"/>
        <w:ind w:firstLine="566"/>
        <w:jc w:val="both"/>
      </w:pPr>
      <w:r w:rsidRPr="002213F6">
        <w:rPr>
          <w:lang w:val="ru-RU"/>
        </w:rPr>
        <w:t>1.</w:t>
      </w:r>
      <w:r>
        <w:t> </w:t>
      </w:r>
      <w:r w:rsidRPr="002213F6">
        <w:rPr>
          <w:lang w:val="ru-RU"/>
        </w:rPr>
        <w:t>Установить, что общая координация деятельности государственных органов и иных организаций по реализации резолюции Генеральной Ассамблеи Организации Объединенных Наций от 25</w:t>
      </w:r>
      <w:r>
        <w:t> </w:t>
      </w:r>
      <w:r w:rsidRPr="002213F6">
        <w:rPr>
          <w:lang w:val="ru-RU"/>
        </w:rPr>
        <w:t>сентября 2015</w:t>
      </w:r>
      <w:r>
        <w:t> </w:t>
      </w:r>
      <w:r w:rsidRPr="002213F6">
        <w:rPr>
          <w:lang w:val="ru-RU"/>
        </w:rPr>
        <w:t>года №</w:t>
      </w:r>
      <w:r>
        <w:t> </w:t>
      </w:r>
      <w:r w:rsidRPr="002213F6">
        <w:rPr>
          <w:lang w:val="ru-RU"/>
        </w:rPr>
        <w:t>70/1 «Преобразование нашего мира: Повестка дня в области ус</w:t>
      </w:r>
      <w:r w:rsidRPr="002213F6">
        <w:rPr>
          <w:lang w:val="ru-RU"/>
        </w:rPr>
        <w:t>тойчивого развития на период до 2030</w:t>
      </w:r>
      <w:r>
        <w:t> </w:t>
      </w:r>
      <w:r w:rsidRPr="002213F6">
        <w:rPr>
          <w:lang w:val="ru-RU"/>
        </w:rPr>
        <w:t xml:space="preserve">года» осуществляется Национальным координатором по достижению </w:t>
      </w:r>
      <w:r>
        <w:t>Целей устойчивого развития.</w:t>
      </w:r>
    </w:p>
    <w:p w:rsidR="009A6AFE" w:rsidRDefault="002213F6">
      <w:pPr>
        <w:spacing w:after="60"/>
        <w:ind w:firstLine="566"/>
        <w:jc w:val="both"/>
      </w:pPr>
      <w:r w:rsidRPr="002213F6">
        <w:rPr>
          <w:lang w:val="ru-RU"/>
        </w:rPr>
        <w:t>2.</w:t>
      </w:r>
      <w:r>
        <w:t> </w:t>
      </w:r>
      <w:r w:rsidRPr="002213F6">
        <w:rPr>
          <w:lang w:val="ru-RU"/>
        </w:rPr>
        <w:t xml:space="preserve">Утвердить прилагаемое Положение о Национальном координаторе по достижению </w:t>
      </w:r>
      <w:r>
        <w:t>Целей устойчивого развития.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3.</w:t>
      </w:r>
      <w:r>
        <w:t> </w:t>
      </w:r>
      <w:r w:rsidRPr="002213F6">
        <w:rPr>
          <w:lang w:val="ru-RU"/>
        </w:rPr>
        <w:t>Исключен.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4.</w:t>
      </w:r>
      <w:r>
        <w:t> </w:t>
      </w:r>
      <w:r w:rsidRPr="002213F6">
        <w:rPr>
          <w:lang w:val="ru-RU"/>
        </w:rPr>
        <w:t>Руководи</w:t>
      </w:r>
      <w:r w:rsidRPr="002213F6">
        <w:rPr>
          <w:lang w:val="ru-RU"/>
        </w:rPr>
        <w:t>телям государственных органов и иных организаций согласно приложению определить из числа своих заместителей ответственных за реализацию Целей устойчивого развития, содержащихся в резолюции Генеральной Ассамблеи Организации Объединенных Наций от 25</w:t>
      </w:r>
      <w:r>
        <w:t> </w:t>
      </w:r>
      <w:r w:rsidRPr="002213F6">
        <w:rPr>
          <w:lang w:val="ru-RU"/>
        </w:rPr>
        <w:t>сентября</w:t>
      </w:r>
      <w:r w:rsidRPr="002213F6">
        <w:rPr>
          <w:lang w:val="ru-RU"/>
        </w:rPr>
        <w:t xml:space="preserve"> 2015</w:t>
      </w:r>
      <w:r>
        <w:t> </w:t>
      </w:r>
      <w:r w:rsidRPr="002213F6">
        <w:rPr>
          <w:lang w:val="ru-RU"/>
        </w:rPr>
        <w:t>года №</w:t>
      </w:r>
      <w:r>
        <w:t> </w:t>
      </w:r>
      <w:r w:rsidRPr="002213F6">
        <w:rPr>
          <w:lang w:val="ru-RU"/>
        </w:rPr>
        <w:t>70/1.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5.</w:t>
      </w:r>
      <w:r>
        <w:t> </w:t>
      </w:r>
      <w:r w:rsidRPr="002213F6">
        <w:rPr>
          <w:lang w:val="ru-RU"/>
        </w:rPr>
        <w:t>Настоящий Указ вступает в силу после его официального опубликования.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6"/>
        <w:gridCol w:w="4823"/>
      </w:tblGrid>
      <w:tr w:rsidR="009A6AFE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498" w:type="pct"/>
            <w:vMerge w:val="restart"/>
            <w:vAlign w:val="bottom"/>
          </w:tcPr>
          <w:p w:rsidR="009A6AFE" w:rsidRDefault="002213F6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2" w:type="pct"/>
            <w:vMerge w:val="restart"/>
            <w:vAlign w:val="bottom"/>
          </w:tcPr>
          <w:p w:rsidR="009A6AFE" w:rsidRDefault="002213F6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9A6AFE" w:rsidRDefault="002213F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9"/>
        <w:gridCol w:w="2410"/>
      </w:tblGrid>
      <w:tr w:rsidR="009A6AFE" w:rsidRPr="002213F6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9A6AFE" w:rsidRDefault="002213F6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9A6AFE" w:rsidRPr="002213F6" w:rsidRDefault="002213F6">
            <w:pPr>
              <w:spacing w:after="28"/>
              <w:rPr>
                <w:lang w:val="ru-RU"/>
              </w:rPr>
            </w:pPr>
            <w:r w:rsidRPr="002213F6">
              <w:rPr>
                <w:sz w:val="22"/>
                <w:szCs w:val="22"/>
                <w:lang w:val="ru-RU"/>
              </w:rPr>
              <w:t>Приложение</w:t>
            </w:r>
          </w:p>
          <w:p w:rsidR="009A6AFE" w:rsidRPr="002213F6" w:rsidRDefault="002213F6">
            <w:pPr>
              <w:spacing w:after="60"/>
              <w:rPr>
                <w:lang w:val="ru-RU"/>
              </w:rPr>
            </w:pPr>
            <w:r w:rsidRPr="002213F6">
              <w:rPr>
                <w:sz w:val="22"/>
                <w:szCs w:val="22"/>
                <w:lang w:val="ru-RU"/>
              </w:rPr>
              <w:t>к Указу Президента</w:t>
            </w:r>
            <w:r w:rsidRPr="002213F6">
              <w:rPr>
                <w:lang w:val="ru-RU"/>
              </w:rPr>
              <w:br/>
            </w:r>
            <w:r w:rsidRPr="002213F6">
              <w:rPr>
                <w:sz w:val="22"/>
                <w:szCs w:val="22"/>
                <w:lang w:val="ru-RU"/>
              </w:rPr>
              <w:t>Республики Беларусь</w:t>
            </w:r>
            <w:r w:rsidRPr="002213F6">
              <w:rPr>
                <w:lang w:val="ru-RU"/>
              </w:rPr>
              <w:br/>
            </w:r>
            <w:r w:rsidRPr="002213F6">
              <w:rPr>
                <w:sz w:val="22"/>
                <w:szCs w:val="22"/>
                <w:lang w:val="ru-RU"/>
              </w:rPr>
              <w:t>25.05.2017 № 181</w:t>
            </w:r>
          </w:p>
        </w:tc>
      </w:tr>
    </w:tbl>
    <w:p w:rsidR="009A6AFE" w:rsidRDefault="002213F6">
      <w:pPr>
        <w:spacing w:before="240" w:after="240"/>
      </w:pPr>
      <w:r w:rsidRPr="002213F6">
        <w:rPr>
          <w:b/>
          <w:bCs/>
          <w:lang w:val="ru-RU"/>
        </w:rPr>
        <w:t>ПЕРЕЧЕНЬ</w:t>
      </w:r>
      <w:r w:rsidRPr="002213F6">
        <w:rPr>
          <w:lang w:val="ru-RU"/>
        </w:rPr>
        <w:br/>
      </w:r>
      <w:r w:rsidRPr="002213F6">
        <w:rPr>
          <w:b/>
          <w:bCs/>
          <w:lang w:val="ru-RU"/>
        </w:rPr>
        <w:t xml:space="preserve">государственных органов и иных организаций, определяющих лиц, ответственных за реализацию </w:t>
      </w:r>
      <w:r>
        <w:rPr>
          <w:b/>
          <w:bCs/>
        </w:rPr>
        <w:t>Целей устойчивого развития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1.</w:t>
      </w:r>
      <w:r>
        <w:t> </w:t>
      </w:r>
      <w:r w:rsidRPr="002213F6">
        <w:rPr>
          <w:lang w:val="ru-RU"/>
        </w:rPr>
        <w:t>Генеральная прокуратура.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2.</w:t>
      </w:r>
      <w:r>
        <w:t> </w:t>
      </w:r>
      <w:r w:rsidRPr="002213F6">
        <w:rPr>
          <w:lang w:val="ru-RU"/>
        </w:rPr>
        <w:t>Национальный банк.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3.</w:t>
      </w:r>
      <w:r>
        <w:t> </w:t>
      </w:r>
      <w:r w:rsidRPr="002213F6">
        <w:rPr>
          <w:lang w:val="ru-RU"/>
        </w:rPr>
        <w:t>Национальная академия наук Беларуси.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lastRenderedPageBreak/>
        <w:t>4.</w:t>
      </w:r>
      <w:r>
        <w:t> </w:t>
      </w:r>
      <w:r w:rsidRPr="002213F6">
        <w:rPr>
          <w:lang w:val="ru-RU"/>
        </w:rPr>
        <w:t>Национальный статистический комитет.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5.</w:t>
      </w:r>
      <w:r>
        <w:t> </w:t>
      </w:r>
      <w:r w:rsidRPr="002213F6">
        <w:rPr>
          <w:lang w:val="ru-RU"/>
        </w:rPr>
        <w:t>Следст</w:t>
      </w:r>
      <w:r w:rsidRPr="002213F6">
        <w:rPr>
          <w:lang w:val="ru-RU"/>
        </w:rPr>
        <w:t>венный комитет.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6.</w:t>
      </w:r>
      <w:r>
        <w:t> </w:t>
      </w:r>
      <w:r w:rsidRPr="002213F6">
        <w:rPr>
          <w:lang w:val="ru-RU"/>
        </w:rPr>
        <w:t>Министерство антимонопольного регулирования и торговли.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7.</w:t>
      </w:r>
      <w:r>
        <w:t> </w:t>
      </w:r>
      <w:r w:rsidRPr="002213F6">
        <w:rPr>
          <w:lang w:val="ru-RU"/>
        </w:rPr>
        <w:t>Министерство архитектуры и строительства.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8.</w:t>
      </w:r>
      <w:r>
        <w:t> </w:t>
      </w:r>
      <w:r w:rsidRPr="002213F6">
        <w:rPr>
          <w:lang w:val="ru-RU"/>
        </w:rPr>
        <w:t>Министерство внутренних дел.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9.</w:t>
      </w:r>
      <w:r>
        <w:t> </w:t>
      </w:r>
      <w:r w:rsidRPr="002213F6">
        <w:rPr>
          <w:lang w:val="ru-RU"/>
        </w:rPr>
        <w:t>Министерство жилищно-коммунального хозяйства.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10.</w:t>
      </w:r>
      <w:r>
        <w:t> </w:t>
      </w:r>
      <w:r w:rsidRPr="002213F6">
        <w:rPr>
          <w:lang w:val="ru-RU"/>
        </w:rPr>
        <w:t>Министерство здравоохранения.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11.</w:t>
      </w:r>
      <w:r>
        <w:t> </w:t>
      </w:r>
      <w:r w:rsidRPr="002213F6">
        <w:rPr>
          <w:lang w:val="ru-RU"/>
        </w:rPr>
        <w:t>Министерство инос</w:t>
      </w:r>
      <w:r w:rsidRPr="002213F6">
        <w:rPr>
          <w:lang w:val="ru-RU"/>
        </w:rPr>
        <w:t>транных дел.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12.</w:t>
      </w:r>
      <w:r>
        <w:t> </w:t>
      </w:r>
      <w:r w:rsidRPr="002213F6">
        <w:rPr>
          <w:lang w:val="ru-RU"/>
        </w:rPr>
        <w:t>Министерство информации.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13.</w:t>
      </w:r>
      <w:r>
        <w:t> </w:t>
      </w:r>
      <w:r w:rsidRPr="002213F6">
        <w:rPr>
          <w:lang w:val="ru-RU"/>
        </w:rPr>
        <w:t>Министерство лесного хозяйства.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14.</w:t>
      </w:r>
      <w:r>
        <w:t> </w:t>
      </w:r>
      <w:r w:rsidRPr="002213F6">
        <w:rPr>
          <w:lang w:val="ru-RU"/>
        </w:rPr>
        <w:t>Министерство обороны.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15.</w:t>
      </w:r>
      <w:r>
        <w:t> </w:t>
      </w:r>
      <w:r w:rsidRPr="002213F6">
        <w:rPr>
          <w:lang w:val="ru-RU"/>
        </w:rPr>
        <w:t>Министерство образования.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16.</w:t>
      </w:r>
      <w:r>
        <w:t> </w:t>
      </w:r>
      <w:r w:rsidRPr="002213F6">
        <w:rPr>
          <w:lang w:val="ru-RU"/>
        </w:rPr>
        <w:t>Министерство по налогам и сборам.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17.</w:t>
      </w:r>
      <w:r>
        <w:t> </w:t>
      </w:r>
      <w:r w:rsidRPr="002213F6">
        <w:rPr>
          <w:lang w:val="ru-RU"/>
        </w:rPr>
        <w:t>Министерство по чрезвычайным ситуациям.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18.</w:t>
      </w:r>
      <w:r>
        <w:t> </w:t>
      </w:r>
      <w:r w:rsidRPr="002213F6">
        <w:rPr>
          <w:lang w:val="ru-RU"/>
        </w:rPr>
        <w:t>Министерство природных ресурсов и охраны окружающей среды.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19.</w:t>
      </w:r>
      <w:r>
        <w:t> </w:t>
      </w:r>
      <w:r w:rsidRPr="002213F6">
        <w:rPr>
          <w:lang w:val="ru-RU"/>
        </w:rPr>
        <w:t>Министерство промышленности.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20.</w:t>
      </w:r>
      <w:r>
        <w:t> </w:t>
      </w:r>
      <w:r w:rsidRPr="002213F6">
        <w:rPr>
          <w:lang w:val="ru-RU"/>
        </w:rPr>
        <w:t>Министерство связи и информатизации.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21.</w:t>
      </w:r>
      <w:r>
        <w:t> </w:t>
      </w:r>
      <w:r w:rsidRPr="002213F6">
        <w:rPr>
          <w:lang w:val="ru-RU"/>
        </w:rPr>
        <w:t>Министерство сельского хозяйства и продовольствия.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22.</w:t>
      </w:r>
      <w:r>
        <w:t> </w:t>
      </w:r>
      <w:r w:rsidRPr="002213F6">
        <w:rPr>
          <w:lang w:val="ru-RU"/>
        </w:rPr>
        <w:t>Министерство спорта и туризма.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23.</w:t>
      </w:r>
      <w:r>
        <w:t> </w:t>
      </w:r>
      <w:r w:rsidRPr="002213F6">
        <w:rPr>
          <w:lang w:val="ru-RU"/>
        </w:rPr>
        <w:t>Министерство транспорта и коммуникаций.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24.</w:t>
      </w:r>
      <w:r>
        <w:t> </w:t>
      </w:r>
      <w:r w:rsidRPr="002213F6">
        <w:rPr>
          <w:lang w:val="ru-RU"/>
        </w:rPr>
        <w:t>Министерство труда и социальной защиты.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25.</w:t>
      </w:r>
      <w:r>
        <w:t> </w:t>
      </w:r>
      <w:r w:rsidRPr="002213F6">
        <w:rPr>
          <w:lang w:val="ru-RU"/>
        </w:rPr>
        <w:t>Министерство финансов.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26.</w:t>
      </w:r>
      <w:r>
        <w:t> </w:t>
      </w:r>
      <w:r w:rsidRPr="002213F6">
        <w:rPr>
          <w:lang w:val="ru-RU"/>
        </w:rPr>
        <w:t>Министерство экономики.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27.</w:t>
      </w:r>
      <w:r>
        <w:t> </w:t>
      </w:r>
      <w:r w:rsidRPr="002213F6">
        <w:rPr>
          <w:lang w:val="ru-RU"/>
        </w:rPr>
        <w:t>Министерство энергетики.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28.</w:t>
      </w:r>
      <w:r>
        <w:t> </w:t>
      </w:r>
      <w:r w:rsidRPr="002213F6">
        <w:rPr>
          <w:lang w:val="ru-RU"/>
        </w:rPr>
        <w:t>Министерство юстиции.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29.</w:t>
      </w:r>
      <w:r>
        <w:t> </w:t>
      </w:r>
      <w:r w:rsidRPr="002213F6">
        <w:rPr>
          <w:lang w:val="ru-RU"/>
        </w:rPr>
        <w:t>Государственный комитет по науке и технологиям.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30.</w:t>
      </w:r>
      <w:r>
        <w:t> </w:t>
      </w:r>
      <w:r w:rsidRPr="002213F6">
        <w:rPr>
          <w:lang w:val="ru-RU"/>
        </w:rPr>
        <w:t>Го</w:t>
      </w:r>
      <w:r w:rsidRPr="002213F6">
        <w:rPr>
          <w:lang w:val="ru-RU"/>
        </w:rPr>
        <w:t>сударственный комитет по стандартизации.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31.</w:t>
      </w:r>
      <w:r>
        <w:t> </w:t>
      </w:r>
      <w:r w:rsidRPr="002213F6">
        <w:rPr>
          <w:lang w:val="ru-RU"/>
        </w:rPr>
        <w:t>Государственный таможенный комитет.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32.</w:t>
      </w:r>
      <w:r>
        <w:t> </w:t>
      </w:r>
      <w:r w:rsidRPr="002213F6">
        <w:rPr>
          <w:lang w:val="ru-RU"/>
        </w:rPr>
        <w:t>Областные и Минский городской исполнительные комитеты.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9"/>
        <w:gridCol w:w="2410"/>
      </w:tblGrid>
      <w:tr w:rsidR="009A6AFE" w:rsidRPr="002213F6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9A6AFE" w:rsidRPr="002213F6" w:rsidRDefault="002213F6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9A6AFE" w:rsidRPr="002213F6" w:rsidRDefault="002213F6">
            <w:pPr>
              <w:spacing w:after="120"/>
              <w:rPr>
                <w:lang w:val="ru-RU"/>
              </w:rPr>
            </w:pPr>
            <w:r w:rsidRPr="002213F6">
              <w:rPr>
                <w:sz w:val="22"/>
                <w:szCs w:val="22"/>
                <w:lang w:val="ru-RU"/>
              </w:rPr>
              <w:t>УТВЕРЖДЕНО</w:t>
            </w:r>
          </w:p>
          <w:p w:rsidR="009A6AFE" w:rsidRPr="002213F6" w:rsidRDefault="002213F6">
            <w:pPr>
              <w:spacing w:after="60"/>
              <w:rPr>
                <w:lang w:val="ru-RU"/>
              </w:rPr>
            </w:pPr>
            <w:r w:rsidRPr="002213F6">
              <w:rPr>
                <w:sz w:val="22"/>
                <w:szCs w:val="22"/>
                <w:lang w:val="ru-RU"/>
              </w:rPr>
              <w:t>Указ Президента</w:t>
            </w:r>
            <w:r w:rsidRPr="002213F6">
              <w:rPr>
                <w:lang w:val="ru-RU"/>
              </w:rPr>
              <w:br/>
            </w:r>
            <w:r w:rsidRPr="002213F6">
              <w:rPr>
                <w:sz w:val="22"/>
                <w:szCs w:val="22"/>
                <w:lang w:val="ru-RU"/>
              </w:rPr>
              <w:t>Республики Беларусь</w:t>
            </w:r>
            <w:r w:rsidRPr="002213F6">
              <w:rPr>
                <w:lang w:val="ru-RU"/>
              </w:rPr>
              <w:br/>
            </w:r>
            <w:r w:rsidRPr="002213F6">
              <w:rPr>
                <w:sz w:val="22"/>
                <w:szCs w:val="22"/>
                <w:lang w:val="ru-RU"/>
              </w:rPr>
              <w:t>25.05.2017 № 181</w:t>
            </w:r>
          </w:p>
        </w:tc>
      </w:tr>
    </w:tbl>
    <w:p w:rsidR="009A6AFE" w:rsidRDefault="002213F6">
      <w:pPr>
        <w:spacing w:before="240" w:after="240"/>
      </w:pPr>
      <w:r w:rsidRPr="002213F6">
        <w:rPr>
          <w:b/>
          <w:bCs/>
          <w:lang w:val="ru-RU"/>
        </w:rPr>
        <w:t>ПОЛОЖЕНИЕ</w:t>
      </w:r>
      <w:r w:rsidRPr="002213F6">
        <w:rPr>
          <w:lang w:val="ru-RU"/>
        </w:rPr>
        <w:br/>
      </w:r>
      <w:r w:rsidRPr="002213F6">
        <w:rPr>
          <w:b/>
          <w:bCs/>
          <w:lang w:val="ru-RU"/>
        </w:rPr>
        <w:t xml:space="preserve">о Национальном координаторе по достижению </w:t>
      </w:r>
      <w:r>
        <w:rPr>
          <w:b/>
          <w:bCs/>
        </w:rPr>
        <w:t>Целей устойчивого развития</w:t>
      </w:r>
    </w:p>
    <w:p w:rsidR="009A6AFE" w:rsidRDefault="002213F6">
      <w:pPr>
        <w:spacing w:after="60"/>
        <w:ind w:firstLine="566"/>
        <w:jc w:val="both"/>
      </w:pPr>
      <w:r>
        <w:t>1. Национальный координатор по достижению Целей устойчивого развития (далее – Национальный координатор) осуществляет общую координацию деятельности государственных органов и иных организа</w:t>
      </w:r>
      <w:r>
        <w:t xml:space="preserve">ций по вопросам достижения Республикой Беларусь </w:t>
      </w:r>
      <w:r>
        <w:lastRenderedPageBreak/>
        <w:t>Целей устойчивого развития, содержащихся в резолюции Генеральной Ассамблеи Организации Объединенных Наций от 25 сентября 2015 года № 70/1 «Преобразование нашего мира: Повестка дня в области устойчивого развит</w:t>
      </w:r>
      <w:r>
        <w:t>ия на период до 2030 года» (далее – Цели устойчивого развития).</w:t>
      </w:r>
    </w:p>
    <w:p w:rsidR="009A6AFE" w:rsidRDefault="002213F6">
      <w:pPr>
        <w:spacing w:after="60"/>
        <w:ind w:firstLine="566"/>
        <w:jc w:val="both"/>
      </w:pPr>
      <w:r w:rsidRPr="002213F6">
        <w:rPr>
          <w:lang w:val="ru-RU"/>
        </w:rPr>
        <w:t>2.</w:t>
      </w:r>
      <w:r>
        <w:t> </w:t>
      </w:r>
      <w:r w:rsidRPr="002213F6">
        <w:rPr>
          <w:lang w:val="ru-RU"/>
        </w:rPr>
        <w:t xml:space="preserve">Национальный координатор назначается на должность и освобождается от должности Президентом Республики Беларусь по предложению </w:t>
      </w:r>
      <w:r>
        <w:t>Совета Министров Республики Беларусь.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3.</w:t>
      </w:r>
      <w:r>
        <w:t> </w:t>
      </w:r>
      <w:r w:rsidRPr="002213F6">
        <w:rPr>
          <w:lang w:val="ru-RU"/>
        </w:rPr>
        <w:t>Национальный координат</w:t>
      </w:r>
      <w:r w:rsidRPr="002213F6">
        <w:rPr>
          <w:lang w:val="ru-RU"/>
        </w:rPr>
        <w:t>ор выполняет свои функции наряду с должностными обязанностями по основному месту работы.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4.</w:t>
      </w:r>
      <w:r>
        <w:t> </w:t>
      </w:r>
      <w:r w:rsidRPr="002213F6">
        <w:rPr>
          <w:lang w:val="ru-RU"/>
        </w:rPr>
        <w:t>В своей деятельности Национальный координатор руководствуется настоящим Положением, иными актами законодательства Республики Беларусь и международными договорами Ре</w:t>
      </w:r>
      <w:r w:rsidRPr="002213F6">
        <w:rPr>
          <w:lang w:val="ru-RU"/>
        </w:rPr>
        <w:t>спублики Беларусь.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5.</w:t>
      </w:r>
      <w:r>
        <w:t> </w:t>
      </w:r>
      <w:r w:rsidRPr="002213F6">
        <w:rPr>
          <w:lang w:val="ru-RU"/>
        </w:rPr>
        <w:t>Основными задачами Национального координатора являются: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анализ и оценка прогресса в достижении Республикой Беларусь Целей устойчивого развития на основе системы национальных показателей;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организация разработки системы национальных пок</w:t>
      </w:r>
      <w:r w:rsidRPr="002213F6">
        <w:rPr>
          <w:lang w:val="ru-RU"/>
        </w:rPr>
        <w:t>азателей выполнения Целей устойчивого развития и порядка проведения их мониторинга;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информирование в установленном порядке Президента Республики Беларусь и Совета Министров Республики Беларусь о ходе достижения Республикой Беларусь Целей устойчивого развит</w:t>
      </w:r>
      <w:r w:rsidRPr="002213F6">
        <w:rPr>
          <w:lang w:val="ru-RU"/>
        </w:rPr>
        <w:t>ия (не реже одного раза в год) и внесение предложений о повышении эффективности этой работы;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 xml:space="preserve">содействие формированию государственной политики для достижения Республикой Беларусь Целей устойчивого развития с учетом национальных приоритетов в экономической, </w:t>
      </w:r>
      <w:r w:rsidRPr="002213F6">
        <w:rPr>
          <w:lang w:val="ru-RU"/>
        </w:rPr>
        <w:t>социальной и экологической областях;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организация взаимодействия государственных органов и иных организаций по вопросам учета Целей устойчивого развития в национальных, отраслевых и региональных стратегиях, программах и планах;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информирование общественности</w:t>
      </w:r>
      <w:r w:rsidRPr="002213F6">
        <w:rPr>
          <w:lang w:val="ru-RU"/>
        </w:rPr>
        <w:t xml:space="preserve"> по вопросам достижения Республикой Беларусь Целей устойчивого развития;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участие в работе по реализации международных инициатив Республики Беларусь в области устойчивого развития;</w:t>
      </w:r>
    </w:p>
    <w:p w:rsidR="009A6AFE" w:rsidRDefault="002213F6">
      <w:pPr>
        <w:spacing w:after="60"/>
        <w:ind w:firstLine="566"/>
        <w:jc w:val="both"/>
      </w:pPr>
      <w:r w:rsidRPr="002213F6">
        <w:rPr>
          <w:lang w:val="ru-RU"/>
        </w:rPr>
        <w:t>содействие привлечению международной технической помощи для реализации мероп</w:t>
      </w:r>
      <w:r w:rsidRPr="002213F6">
        <w:rPr>
          <w:lang w:val="ru-RU"/>
        </w:rPr>
        <w:t xml:space="preserve">риятий по достижению </w:t>
      </w:r>
      <w:r>
        <w:t>Республикой Беларусь Целей устойчивого развития.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6.</w:t>
      </w:r>
      <w:r>
        <w:t> </w:t>
      </w:r>
      <w:r w:rsidRPr="002213F6">
        <w:rPr>
          <w:lang w:val="ru-RU"/>
        </w:rPr>
        <w:t>Национальный координатор в соответствии с возложенными на него задачами имеет право:</w:t>
      </w:r>
    </w:p>
    <w:p w:rsidR="009A6AFE" w:rsidRDefault="002213F6">
      <w:pPr>
        <w:spacing w:after="60"/>
        <w:ind w:firstLine="566"/>
        <w:jc w:val="both"/>
      </w:pPr>
      <w:r w:rsidRPr="002213F6">
        <w:rPr>
          <w:lang w:val="ru-RU"/>
        </w:rPr>
        <w:t>вносить в государственные органы и иные организации предложения о повышении эффективности деятельн</w:t>
      </w:r>
      <w:r w:rsidRPr="002213F6">
        <w:rPr>
          <w:lang w:val="ru-RU"/>
        </w:rPr>
        <w:t xml:space="preserve">ости по достижению </w:t>
      </w:r>
      <w:r>
        <w:t>Республикой Беларусь Целей устойчивого развития;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 xml:space="preserve">запрашивать и получать от государственных органов и иных организаций необходимые информационно-аналитические, справочные и иные материалы по вопросам достижения Республикой Беларусь Целей </w:t>
      </w:r>
      <w:r w:rsidRPr="002213F6">
        <w:rPr>
          <w:lang w:val="ru-RU"/>
        </w:rPr>
        <w:t>устойчивого развития;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 xml:space="preserve">участвовать в совещаниях, проводимых Президентом Республики Беларусь, Администрацией Президента Республики Беларусь, Советом Министров Республики </w:t>
      </w:r>
      <w:r w:rsidRPr="002213F6">
        <w:rPr>
          <w:lang w:val="ru-RU"/>
        </w:rPr>
        <w:lastRenderedPageBreak/>
        <w:t>Беларусь, государственными органами и иными организациями, по обсуждению итогов и перспе</w:t>
      </w:r>
      <w:r w:rsidRPr="002213F6">
        <w:rPr>
          <w:lang w:val="ru-RU"/>
        </w:rPr>
        <w:t>ктив социально-экономического развития;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представлять в Организации Объединенных Наций, иных международных организациях, а также в рамках участия в международных мероприятиях доклады о прогрессе Республики Беларусь в достижении Целей устойчивого развития;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организовывать мероприятия, посвященные Целям устойчивого развития и подчеркивающие важность их достижения Республикой Беларусь;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осуществлять другие полномочия, предусмотренные актами законодательства Республики Беларусь.</w:t>
      </w:r>
    </w:p>
    <w:p w:rsidR="009A6AFE" w:rsidRDefault="002213F6">
      <w:pPr>
        <w:spacing w:after="60"/>
        <w:ind w:firstLine="566"/>
        <w:jc w:val="both"/>
      </w:pPr>
      <w:r w:rsidRPr="002213F6">
        <w:rPr>
          <w:lang w:val="ru-RU"/>
        </w:rPr>
        <w:t>7.</w:t>
      </w:r>
      <w:r>
        <w:t> </w:t>
      </w:r>
      <w:r w:rsidRPr="002213F6">
        <w:rPr>
          <w:lang w:val="ru-RU"/>
        </w:rPr>
        <w:t xml:space="preserve">Национальный координатор возглавляет Совет по устойчивому развитию </w:t>
      </w:r>
      <w:r>
        <w:t>(далее – Совет), который является совещательным и консультативным органом.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Заседания Совета созываются Национальным координатором по мере необходимости, но не реже одного раза в год.</w:t>
      </w:r>
    </w:p>
    <w:p w:rsidR="009A6AFE" w:rsidRDefault="002213F6">
      <w:pPr>
        <w:spacing w:after="60"/>
        <w:ind w:firstLine="566"/>
        <w:jc w:val="both"/>
      </w:pPr>
      <w:r w:rsidRPr="002213F6">
        <w:rPr>
          <w:lang w:val="ru-RU"/>
        </w:rPr>
        <w:t>В с</w:t>
      </w:r>
      <w:r w:rsidRPr="002213F6">
        <w:rPr>
          <w:lang w:val="ru-RU"/>
        </w:rPr>
        <w:t xml:space="preserve">остав Совета входят заместители руководителей государственных органов и иных организаций, определенные ответственными за реализацию </w:t>
      </w:r>
      <w:r>
        <w:t>Целей устойчивого развития.</w:t>
      </w:r>
    </w:p>
    <w:p w:rsidR="009A6AFE" w:rsidRDefault="002213F6">
      <w:pPr>
        <w:spacing w:after="60"/>
        <w:ind w:firstLine="566"/>
        <w:jc w:val="both"/>
      </w:pPr>
      <w:r>
        <w:t>В заседаниях Совета по представлению Министерства иностранных дел с учетом предложений заинтерес</w:t>
      </w:r>
      <w:r>
        <w:t>ованных государственных органов и иных организаций также могут принимать участие представители деловых кругов, общественных объединений и международных организаций (с их согласия).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Национальный координатор определяет персональный состав участников заседани</w:t>
      </w:r>
      <w:r w:rsidRPr="002213F6">
        <w:rPr>
          <w:lang w:val="ru-RU"/>
        </w:rPr>
        <w:t>й Совета исходя из круга вопросов, включенных в повестку дня конкретного заседания Совета.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 w:rsidRPr="002213F6">
        <w:rPr>
          <w:lang w:val="ru-RU"/>
        </w:rPr>
        <w:t>8.</w:t>
      </w:r>
      <w:r>
        <w:t> </w:t>
      </w:r>
      <w:r w:rsidRPr="002213F6">
        <w:rPr>
          <w:lang w:val="ru-RU"/>
        </w:rPr>
        <w:t>Обеспечение деятельности Национального координатора и Совета осуществляется Министерством иностранных дел.</w:t>
      </w:r>
    </w:p>
    <w:p w:rsidR="009A6AFE" w:rsidRPr="002213F6" w:rsidRDefault="002213F6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9A6AFE" w:rsidRPr="002213F6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FE"/>
    <w:rsid w:val="002213F6"/>
    <w:rsid w:val="009A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ED4B1-EDCD-49F9-B5E6-79BFC913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2</cp:revision>
  <dcterms:created xsi:type="dcterms:W3CDTF">2025-08-14T08:37:00Z</dcterms:created>
  <dcterms:modified xsi:type="dcterms:W3CDTF">2025-08-14T08:37:00Z</dcterms:modified>
  <cp:category/>
</cp:coreProperties>
</file>